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E30D" w14:textId="378D18D2" w:rsidR="002F6379" w:rsidRPr="002F6379" w:rsidRDefault="002F6379" w:rsidP="002F6379">
      <w:pPr>
        <w:jc w:val="center"/>
        <w:rPr>
          <w:rFonts w:ascii="Arial" w:hAnsi="Arial" w:cs="Arial"/>
          <w:b/>
          <w:bCs/>
          <w:sz w:val="24"/>
          <w:szCs w:val="24"/>
          <w:lang w:val="en-US"/>
        </w:rPr>
      </w:pPr>
      <w:r w:rsidRPr="002F6379">
        <w:rPr>
          <w:rFonts w:ascii="Arial" w:hAnsi="Arial" w:cs="Arial"/>
          <w:b/>
          <w:bCs/>
          <w:sz w:val="24"/>
          <w:szCs w:val="24"/>
          <w:lang w:val="en-US"/>
        </w:rPr>
        <w:t>Solstice II: Social Cohesion in the Context of Climate Policy</w:t>
      </w:r>
    </w:p>
    <w:p w14:paraId="7E2C3F20" w14:textId="77777777" w:rsidR="002F6379" w:rsidRPr="002F6379" w:rsidRDefault="002F6379" w:rsidP="002F6379">
      <w:pPr>
        <w:jc w:val="center"/>
        <w:rPr>
          <w:rFonts w:ascii="Arial" w:hAnsi="Arial" w:cs="Arial"/>
          <w:b/>
          <w:bCs/>
          <w:lang w:val="en-US"/>
        </w:rPr>
      </w:pPr>
    </w:p>
    <w:p w14:paraId="3567288D" w14:textId="77777777" w:rsidR="002F6379" w:rsidRPr="002F6379" w:rsidRDefault="002F6379" w:rsidP="002F6379">
      <w:pPr>
        <w:jc w:val="both"/>
        <w:rPr>
          <w:rFonts w:ascii="Arial" w:hAnsi="Arial" w:cs="Arial"/>
          <w:b/>
          <w:bCs/>
          <w:lang w:val="en-US"/>
        </w:rPr>
      </w:pPr>
      <w:r w:rsidRPr="002F6379">
        <w:rPr>
          <w:rFonts w:ascii="Arial" w:hAnsi="Arial" w:cs="Arial"/>
          <w:b/>
          <w:bCs/>
          <w:lang w:val="en-US"/>
        </w:rPr>
        <w:t>Background</w:t>
      </w:r>
    </w:p>
    <w:p w14:paraId="518B7B9B" w14:textId="4A5AEB37" w:rsidR="002F6379" w:rsidRPr="002F6379" w:rsidRDefault="002F6379" w:rsidP="002F6379">
      <w:pPr>
        <w:jc w:val="both"/>
        <w:rPr>
          <w:rFonts w:ascii="Arial" w:hAnsi="Arial" w:cs="Arial"/>
          <w:lang w:val="en-US"/>
        </w:rPr>
      </w:pPr>
      <w:r w:rsidRPr="002F6379">
        <w:rPr>
          <w:rFonts w:ascii="Arial" w:hAnsi="Arial" w:cs="Arial"/>
          <w:lang w:val="en-US"/>
        </w:rPr>
        <w:t>Climate change and the transformation processes required to achieve climate neutrality pose profound challenges for the economy, politics, and society. Alongside technological, economic, and environmental issues, the societal conditions of climate policy are increasingly coming into focus. This is particularly true against the backdrop of a changing global order, in which geopolitical shifts, security-policy priorities, and economic disruptions are generating new tensions. In this context, populist narratives are increasingly undermining the social and political foundations of climate policy by questioning its legitimacy or framing climate action as a secondary issue or as a source of conflict. However, acceptance, support, and broad societal ownership of climate protection measures remain key prerequisites for their long-term success.</w:t>
      </w:r>
    </w:p>
    <w:p w14:paraId="6F11CB50" w14:textId="5EFEB6B2" w:rsidR="002F6379" w:rsidRPr="002F6379" w:rsidRDefault="00907184" w:rsidP="002F6379">
      <w:pPr>
        <w:jc w:val="both"/>
        <w:rPr>
          <w:rFonts w:ascii="Arial" w:hAnsi="Arial" w:cs="Arial"/>
          <w:lang w:val="en-US"/>
        </w:rPr>
      </w:pPr>
      <w:r>
        <w:rPr>
          <w:rFonts w:ascii="Arial" w:hAnsi="Arial" w:cs="Arial"/>
          <w:lang w:val="en-US"/>
        </w:rPr>
        <w:t>The</w:t>
      </w:r>
      <w:r w:rsidR="002F6379" w:rsidRPr="002F6379">
        <w:rPr>
          <w:rFonts w:ascii="Arial" w:hAnsi="Arial" w:cs="Arial"/>
          <w:lang w:val="en-US"/>
        </w:rPr>
        <w:t xml:space="preserve"> funding </w:t>
      </w:r>
      <w:r>
        <w:rPr>
          <w:rFonts w:ascii="Arial" w:hAnsi="Arial" w:cs="Arial"/>
          <w:lang w:val="en-US"/>
        </w:rPr>
        <w:t>initiative</w:t>
      </w:r>
      <w:r w:rsidR="002F6379" w:rsidRPr="002F6379">
        <w:rPr>
          <w:rFonts w:ascii="Arial" w:hAnsi="Arial" w:cs="Arial"/>
          <w:lang w:val="en-US"/>
        </w:rPr>
        <w:t xml:space="preserve"> </w:t>
      </w:r>
      <w:r w:rsidR="002F6379" w:rsidRPr="002F6379">
        <w:rPr>
          <w:rFonts w:ascii="Arial" w:hAnsi="Arial" w:cs="Arial"/>
          <w:b/>
          <w:bCs/>
          <w:lang w:val="en-US"/>
        </w:rPr>
        <w:t>“</w:t>
      </w:r>
      <w:r w:rsidR="002F6379" w:rsidRPr="002F6379">
        <w:rPr>
          <w:rFonts w:ascii="Arial" w:hAnsi="Arial" w:cs="Arial"/>
          <w:lang w:val="en-US"/>
        </w:rPr>
        <w:t>SOLSTICE II – Social Cohesion in the Context of Policy</w:t>
      </w:r>
      <w:r w:rsidR="002F6379" w:rsidRPr="002F6379">
        <w:rPr>
          <w:rFonts w:ascii="Arial" w:hAnsi="Arial" w:cs="Arial"/>
          <w:b/>
          <w:bCs/>
          <w:lang w:val="en-US"/>
        </w:rPr>
        <w:t>,”</w:t>
      </w:r>
      <w:r w:rsidR="002F6379" w:rsidRPr="002F6379">
        <w:rPr>
          <w:rFonts w:ascii="Arial" w:hAnsi="Arial" w:cs="Arial"/>
          <w:lang w:val="en-US"/>
        </w:rPr>
        <w:t xml:space="preserve"> aims to strengthen social science research on the conditions, dynamics, and risks of social cohesion in the context of climate policy. The societal opportunities and conflict potentials of transformation processes are to be systematically analyzed, and scientifically grounded orientation frameworks for policymaking and practice are to be developed. In this way, the funding call contributes to the development of actionable knowledge required to design climate policy that remains democratically legitimate, socially just, and societally sustainable even under changing global and political conditions.</w:t>
      </w:r>
    </w:p>
    <w:p w14:paraId="18B1AC62" w14:textId="6B0E85CE" w:rsidR="002F6379" w:rsidRPr="002F6379" w:rsidRDefault="002F6379" w:rsidP="002F6379">
      <w:pPr>
        <w:jc w:val="both"/>
        <w:rPr>
          <w:rFonts w:ascii="Arial" w:hAnsi="Arial" w:cs="Arial"/>
          <w:lang w:val="en-US"/>
        </w:rPr>
      </w:pPr>
      <w:r w:rsidRPr="002F6379">
        <w:rPr>
          <w:rFonts w:ascii="Arial" w:hAnsi="Arial" w:cs="Arial"/>
          <w:lang w:val="en-US"/>
        </w:rPr>
        <w:t>Funding is provided for research projects that address the societal conditions, dynamics, and consequences of climate policy. The focus is on issues of social cohesion, acceptance, and legitimacy of climate protection measures, as well as the political and social governability of transformation processes.</w:t>
      </w:r>
    </w:p>
    <w:p w14:paraId="4DA7738F" w14:textId="2C091E01" w:rsidR="002F6379" w:rsidRPr="002F6379" w:rsidRDefault="002F6379" w:rsidP="002F6379">
      <w:pPr>
        <w:jc w:val="both"/>
        <w:rPr>
          <w:rFonts w:ascii="Arial" w:hAnsi="Arial" w:cs="Arial"/>
        </w:rPr>
      </w:pPr>
    </w:p>
    <w:p w14:paraId="69CEC150" w14:textId="77777777" w:rsidR="002F6379" w:rsidRPr="002F6379" w:rsidRDefault="002F6379" w:rsidP="002F6379">
      <w:pPr>
        <w:jc w:val="both"/>
        <w:rPr>
          <w:rFonts w:ascii="Arial" w:hAnsi="Arial" w:cs="Arial"/>
          <w:b/>
          <w:bCs/>
          <w:lang w:val="en-US"/>
        </w:rPr>
      </w:pPr>
      <w:r w:rsidRPr="002F6379">
        <w:rPr>
          <w:rFonts w:ascii="Arial" w:hAnsi="Arial" w:cs="Arial"/>
          <w:b/>
          <w:bCs/>
          <w:lang w:val="en-US"/>
        </w:rPr>
        <w:t>Thematic Areas</w:t>
      </w:r>
    </w:p>
    <w:p w14:paraId="3BDB07FC" w14:textId="77777777" w:rsidR="002F6379" w:rsidRDefault="002F6379" w:rsidP="002F6379">
      <w:pPr>
        <w:jc w:val="both"/>
        <w:rPr>
          <w:rFonts w:ascii="Arial" w:hAnsi="Arial" w:cs="Arial"/>
          <w:lang w:val="en-US"/>
        </w:rPr>
      </w:pPr>
      <w:r w:rsidRPr="002F6379">
        <w:rPr>
          <w:rFonts w:ascii="Arial" w:hAnsi="Arial" w:cs="Arial"/>
          <w:lang w:val="en-US"/>
        </w:rPr>
        <w:t>Projects are expected to address, in particular, the following thematic areas:</w:t>
      </w:r>
    </w:p>
    <w:p w14:paraId="5CCE13EE" w14:textId="77777777" w:rsidR="002F6379" w:rsidRPr="002F6379" w:rsidRDefault="002F6379" w:rsidP="002F6379">
      <w:pPr>
        <w:jc w:val="both"/>
        <w:rPr>
          <w:rFonts w:ascii="Arial" w:hAnsi="Arial" w:cs="Arial"/>
          <w:u w:val="single"/>
          <w:lang w:val="en-US"/>
        </w:rPr>
      </w:pPr>
      <w:r w:rsidRPr="002F6379">
        <w:rPr>
          <w:rFonts w:ascii="Arial" w:hAnsi="Arial" w:cs="Arial"/>
          <w:u w:val="single"/>
          <w:lang w:val="en-US"/>
        </w:rPr>
        <w:t>Module A: Diagnosing Societal Dynamics</w:t>
      </w:r>
    </w:p>
    <w:p w14:paraId="68DF72F1" w14:textId="77777777" w:rsidR="002F6379" w:rsidRPr="002F6379" w:rsidRDefault="002F6379" w:rsidP="002F6379">
      <w:pPr>
        <w:jc w:val="both"/>
        <w:rPr>
          <w:rFonts w:ascii="Arial" w:hAnsi="Arial" w:cs="Arial"/>
          <w:lang w:val="en-US"/>
        </w:rPr>
      </w:pPr>
      <w:r w:rsidRPr="002F6379">
        <w:rPr>
          <w:rFonts w:ascii="Arial" w:hAnsi="Arial" w:cs="Arial"/>
          <w:lang w:val="en-US"/>
        </w:rPr>
        <w:t>Module A addresses the societal dynamics that emerge in the course of climate protection policies. The focus is on changes in public perceptions, social lines of conflict, and political contestation, as well as processes of polarization, fragmentation, resistance, or regression. The aim is to analyze the social conditions, risks, and tipping points under which climate protection measures either gain broad support or encounter rejection, and to derive insights for the socially sustainable design of transformation processes.</w:t>
      </w:r>
    </w:p>
    <w:p w14:paraId="5F496D74" w14:textId="77777777" w:rsidR="002F6379" w:rsidRPr="002F6379" w:rsidRDefault="002F6379" w:rsidP="002F6379">
      <w:pPr>
        <w:jc w:val="both"/>
        <w:rPr>
          <w:rFonts w:ascii="Arial" w:hAnsi="Arial" w:cs="Arial"/>
          <w:u w:val="single"/>
          <w:lang w:val="en-US"/>
        </w:rPr>
      </w:pPr>
      <w:r w:rsidRPr="002F6379">
        <w:rPr>
          <w:rFonts w:ascii="Arial" w:hAnsi="Arial" w:cs="Arial"/>
          <w:u w:val="single"/>
          <w:lang w:val="en-US"/>
        </w:rPr>
        <w:t>Module B: Shaping Acceptance and Legitimacy</w:t>
      </w:r>
    </w:p>
    <w:p w14:paraId="1EF8D62E" w14:textId="27302028" w:rsidR="002F6379" w:rsidRPr="002F6379" w:rsidRDefault="002F6379" w:rsidP="002F6379">
      <w:pPr>
        <w:jc w:val="both"/>
        <w:rPr>
          <w:rFonts w:ascii="Arial" w:hAnsi="Arial" w:cs="Arial"/>
          <w:lang w:val="en-US"/>
        </w:rPr>
      </w:pPr>
      <w:r w:rsidRPr="002F6379">
        <w:rPr>
          <w:rFonts w:ascii="Arial" w:hAnsi="Arial" w:cs="Arial"/>
          <w:lang w:val="en-US"/>
        </w:rPr>
        <w:t xml:space="preserve">Module B focuses on the prerequisites for societal support, acceptance, and democratic legitimacy of climate policy. It examines different concepts of justice, participation formats, and the role of state and non-state actors in shaping socially just and inclusive climate protection measures. The objective is to identify pathways through which climate policy can be perceived </w:t>
      </w:r>
      <w:r w:rsidRPr="002F6379">
        <w:rPr>
          <w:rFonts w:ascii="Arial" w:hAnsi="Arial" w:cs="Arial"/>
          <w:lang w:val="en-US"/>
        </w:rPr>
        <w:lastRenderedPageBreak/>
        <w:t>as fair, necessary, and future-oriented, and how acceptance and active participation by citizens and societal groups can be sustainably strengthened.</w:t>
      </w:r>
    </w:p>
    <w:p w14:paraId="4B3D70C9" w14:textId="77777777" w:rsidR="002F6379" w:rsidRPr="002F6379" w:rsidRDefault="002F6379" w:rsidP="002F6379">
      <w:pPr>
        <w:jc w:val="both"/>
        <w:rPr>
          <w:rFonts w:ascii="Arial" w:hAnsi="Arial" w:cs="Arial"/>
          <w:lang w:val="en-US"/>
        </w:rPr>
      </w:pPr>
      <w:r w:rsidRPr="002F6379">
        <w:rPr>
          <w:rFonts w:ascii="Arial" w:hAnsi="Arial" w:cs="Arial"/>
          <w:lang w:val="en-US"/>
        </w:rPr>
        <w:t>Aspects of technological development, innovation, and digital applications (e.g., artificial intelligence) may be incorporated into the research, provided they contribute to the analysis of societal acceptance, adaptive capacity, and the design of transformation processes. The focus remains on the social science perspective on the use, perception, and societal consequences of such developments. The establishment, use, and open provision of suitable datasets are also explicitly welcomed.</w:t>
      </w:r>
    </w:p>
    <w:p w14:paraId="0F1CB334" w14:textId="74D0C9CD" w:rsidR="002F6379" w:rsidRPr="002F6379" w:rsidRDefault="002F6379" w:rsidP="002F6379">
      <w:pPr>
        <w:jc w:val="both"/>
        <w:rPr>
          <w:rFonts w:ascii="Arial" w:hAnsi="Arial" w:cs="Arial"/>
        </w:rPr>
      </w:pPr>
    </w:p>
    <w:p w14:paraId="5B137FBF" w14:textId="77777777" w:rsidR="002F6379" w:rsidRPr="002F6379" w:rsidRDefault="002F6379" w:rsidP="002F6379">
      <w:pPr>
        <w:jc w:val="both"/>
        <w:rPr>
          <w:rFonts w:ascii="Arial" w:hAnsi="Arial" w:cs="Arial"/>
          <w:b/>
          <w:bCs/>
          <w:lang w:val="en-US"/>
        </w:rPr>
      </w:pPr>
      <w:r w:rsidRPr="002F6379">
        <w:rPr>
          <w:rFonts w:ascii="Arial" w:hAnsi="Arial" w:cs="Arial"/>
          <w:b/>
          <w:bCs/>
          <w:lang w:val="en-US"/>
        </w:rPr>
        <w:t>Funding Criteria and Requirements</w:t>
      </w:r>
    </w:p>
    <w:p w14:paraId="1618A286" w14:textId="77777777" w:rsidR="002F6379" w:rsidRPr="002F6379" w:rsidRDefault="002F6379" w:rsidP="002F6379">
      <w:pPr>
        <w:jc w:val="both"/>
        <w:rPr>
          <w:rFonts w:ascii="Arial" w:hAnsi="Arial" w:cs="Arial"/>
          <w:lang w:val="en-US"/>
        </w:rPr>
      </w:pPr>
      <w:r w:rsidRPr="002F6379">
        <w:rPr>
          <w:rFonts w:ascii="Arial" w:hAnsi="Arial" w:cs="Arial"/>
          <w:lang w:val="en-US"/>
        </w:rPr>
        <w:t>Given the limited availability of funding, a traditional, broadly conceived funding call is unlikely to be feasible. At the same time, the full thematic and methodological diversity of the humanities and social sciences cannot be comprehensively represented within the framework of Solstice II. The aim is therefore to build on existing findings from prior research and to systematically harness them for policy-relevant questions.</w:t>
      </w:r>
    </w:p>
    <w:p w14:paraId="4A1FA3E1" w14:textId="77777777" w:rsidR="002F6379" w:rsidRPr="002F6379" w:rsidRDefault="002F6379" w:rsidP="002F6379">
      <w:pPr>
        <w:jc w:val="both"/>
        <w:rPr>
          <w:rFonts w:ascii="Arial" w:hAnsi="Arial" w:cs="Arial"/>
          <w:lang w:val="en-US"/>
        </w:rPr>
      </w:pPr>
      <w:r w:rsidRPr="002F6379">
        <w:rPr>
          <w:rFonts w:ascii="Arial" w:hAnsi="Arial" w:cs="Arial"/>
          <w:lang w:val="en-US"/>
        </w:rPr>
        <w:t>Against this background, alternative and flexible research formats come into focus that enable both in-depth scholarly engagement and the structured synthesis of knowledge. In particular, collegium-based formats are well suited to bringing together existing knowledge in an interdisciplinary manner and situating it within overarching analytical frameworks. The call seeks high-performing scientific centers in Germany and Norway that possess recognized expertise, international networks, and suitable institutional conditions for implementing such formats.</w:t>
      </w:r>
    </w:p>
    <w:p w14:paraId="3ADEC73B" w14:textId="77777777" w:rsidR="002F6379" w:rsidRPr="002F6379" w:rsidRDefault="002F6379" w:rsidP="002F6379">
      <w:pPr>
        <w:jc w:val="both"/>
        <w:rPr>
          <w:rFonts w:ascii="Arial" w:hAnsi="Arial" w:cs="Arial"/>
          <w:lang w:val="en-US"/>
        </w:rPr>
      </w:pPr>
      <w:r w:rsidRPr="002F6379">
        <w:rPr>
          <w:rFonts w:ascii="Arial" w:hAnsi="Arial" w:cs="Arial"/>
          <w:lang w:val="en-US"/>
        </w:rPr>
        <w:t xml:space="preserve">Funding may therefore focus on establishing an innovative, collegium-based research format in the sense of an </w:t>
      </w:r>
      <w:r w:rsidRPr="002F6379">
        <w:rPr>
          <w:rFonts w:ascii="Arial" w:hAnsi="Arial" w:cs="Arial"/>
          <w:i/>
          <w:iCs/>
          <w:lang w:val="en-US"/>
        </w:rPr>
        <w:t>Advanced School for Scientists</w:t>
      </w:r>
      <w:r w:rsidRPr="002F6379">
        <w:rPr>
          <w:rFonts w:ascii="Arial" w:hAnsi="Arial" w:cs="Arial"/>
          <w:lang w:val="en-US"/>
        </w:rPr>
        <w:t>, aimed at continuous knowledge integration and policy-relevant synthesis. An interdisciplinary group of four to five researchers addresses clearly defined thematic priorities from the thematic areas outlined above twice per year. Each collegium is designed as a two-month research phase, comprising a one-month joint, in-person working residency as the central core format, as well as preparatory and follow-up phases. A total of five thematic cycles are planned.</w:t>
      </w:r>
    </w:p>
    <w:p w14:paraId="0F8DE9C5" w14:textId="77777777" w:rsidR="002F6379" w:rsidRPr="002F6379" w:rsidRDefault="002F6379" w:rsidP="002F6379">
      <w:pPr>
        <w:jc w:val="both"/>
        <w:rPr>
          <w:rFonts w:ascii="Arial" w:hAnsi="Arial" w:cs="Arial"/>
          <w:lang w:val="en-US"/>
        </w:rPr>
      </w:pPr>
      <w:r w:rsidRPr="002F6379">
        <w:rPr>
          <w:rFonts w:ascii="Arial" w:hAnsi="Arial" w:cs="Arial"/>
          <w:lang w:val="en-US"/>
        </w:rPr>
        <w:t xml:space="preserve">The central output of each collegium is a synthesis report that </w:t>
      </w:r>
      <w:proofErr w:type="spellStart"/>
      <w:r w:rsidRPr="002F6379">
        <w:rPr>
          <w:rFonts w:ascii="Arial" w:hAnsi="Arial" w:cs="Arial"/>
          <w:lang w:val="en-US"/>
        </w:rPr>
        <w:t>integratively</w:t>
      </w:r>
      <w:proofErr w:type="spellEnd"/>
      <w:r w:rsidRPr="002F6379">
        <w:rPr>
          <w:rFonts w:ascii="Arial" w:hAnsi="Arial" w:cs="Arial"/>
          <w:lang w:val="en-US"/>
        </w:rPr>
        <w:t xml:space="preserve"> consolidates the scientific findings developed and relates them, in a structured manner, to concrete political contexts, goal conflicts, and policy options within the respective thematic field. Coordination of the overall project ensures the substantive coherence of the thematic cycles, quality assurance of the synthesis outputs, and the systematic transfer of results into political decision-making and policy-design processes at the national and European levels.</w:t>
      </w:r>
    </w:p>
    <w:p w14:paraId="21CC7EF3" w14:textId="08DABB95" w:rsidR="000E1B70" w:rsidRPr="002F6379" w:rsidRDefault="002F6379" w:rsidP="002F6379">
      <w:pPr>
        <w:jc w:val="both"/>
        <w:rPr>
          <w:rFonts w:ascii="Arial" w:hAnsi="Arial" w:cs="Arial"/>
          <w:lang w:val="en-US"/>
        </w:rPr>
      </w:pPr>
      <w:r w:rsidRPr="002F6379">
        <w:rPr>
          <w:rFonts w:ascii="Arial" w:hAnsi="Arial" w:cs="Arial"/>
          <w:lang w:val="en-US"/>
        </w:rPr>
        <w:t>The format described represents one possible example of how such a project could be structured. At the same time, applicants are explicitly encouraged to propose their own innovative project formats that meet the stated objectives and framework conditions. Alternative organizational, cooperative, or working arrangements may also be considered. The decisive criterion for evaluation is the extent to which the proposed concept is convincing with regard to the intended outcomes and demonstrates a clear orientation and practical value for political decision-making and policy-design processes.</w:t>
      </w:r>
    </w:p>
    <w:sectPr w:rsidR="000E1B70" w:rsidRPr="002F63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79"/>
    <w:rsid w:val="000059B8"/>
    <w:rsid w:val="00026C04"/>
    <w:rsid w:val="000D0499"/>
    <w:rsid w:val="000E1B70"/>
    <w:rsid w:val="00124E0C"/>
    <w:rsid w:val="00197C5B"/>
    <w:rsid w:val="002D6E55"/>
    <w:rsid w:val="002F6379"/>
    <w:rsid w:val="00316727"/>
    <w:rsid w:val="0034719A"/>
    <w:rsid w:val="004805DB"/>
    <w:rsid w:val="00532FD1"/>
    <w:rsid w:val="00555871"/>
    <w:rsid w:val="00680AFA"/>
    <w:rsid w:val="00762295"/>
    <w:rsid w:val="00907184"/>
    <w:rsid w:val="009A22FE"/>
    <w:rsid w:val="00BC7987"/>
    <w:rsid w:val="00CA736F"/>
    <w:rsid w:val="00E87212"/>
    <w:rsid w:val="00ED3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E0FC"/>
  <w15:chartTrackingRefBased/>
  <w15:docId w15:val="{5F694165-CB08-4BCE-982B-F44461BA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63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2F63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2F6379"/>
    <w:pPr>
      <w:keepNext/>
      <w:keepLines/>
      <w:spacing w:before="160" w:after="80"/>
      <w:outlineLvl w:val="2"/>
    </w:pPr>
    <w:rPr>
      <w:rFonts w:eastAsiaTheme="majorEastAsia"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2F6379"/>
    <w:pPr>
      <w:keepNext/>
      <w:keepLines/>
      <w:spacing w:before="80" w:after="4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2F6379"/>
    <w:pPr>
      <w:keepNext/>
      <w:keepLines/>
      <w:spacing w:before="80" w:after="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2F63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63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63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63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6379"/>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2F6379"/>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2F6379"/>
    <w:rPr>
      <w:rFonts w:eastAsiaTheme="majorEastAsia"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2F6379"/>
    <w:rPr>
      <w:rFonts w:eastAsiaTheme="majorEastAsia"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2F6379"/>
    <w:rPr>
      <w:rFonts w:eastAsiaTheme="majorEastAsia" w:cstheme="majorBidi"/>
      <w:color w:val="365F91" w:themeColor="accent1" w:themeShade="BF"/>
    </w:rPr>
  </w:style>
  <w:style w:type="character" w:customStyle="1" w:styleId="Overskrift6Tegn">
    <w:name w:val="Overskrift 6 Tegn"/>
    <w:basedOn w:val="Standardskriftforavsnitt"/>
    <w:link w:val="Overskrift6"/>
    <w:uiPriority w:val="9"/>
    <w:semiHidden/>
    <w:rsid w:val="002F63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F63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F63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F6379"/>
    <w:rPr>
      <w:rFonts w:eastAsiaTheme="majorEastAsia" w:cstheme="majorBidi"/>
      <w:color w:val="272727" w:themeColor="text1" w:themeTint="D8"/>
    </w:rPr>
  </w:style>
  <w:style w:type="paragraph" w:styleId="Tittel">
    <w:name w:val="Title"/>
    <w:basedOn w:val="Normal"/>
    <w:next w:val="Normal"/>
    <w:link w:val="TittelTegn"/>
    <w:uiPriority w:val="10"/>
    <w:qFormat/>
    <w:rsid w:val="002F6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63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F6379"/>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F63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F6379"/>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2F6379"/>
    <w:rPr>
      <w:i/>
      <w:iCs/>
      <w:color w:val="404040" w:themeColor="text1" w:themeTint="BF"/>
    </w:rPr>
  </w:style>
  <w:style w:type="paragraph" w:styleId="Listeavsnitt">
    <w:name w:val="List Paragraph"/>
    <w:basedOn w:val="Normal"/>
    <w:uiPriority w:val="34"/>
    <w:qFormat/>
    <w:rsid w:val="002F6379"/>
    <w:pPr>
      <w:ind w:left="720"/>
      <w:contextualSpacing/>
    </w:pPr>
  </w:style>
  <w:style w:type="character" w:styleId="Sterkutheving">
    <w:name w:val="Intense Emphasis"/>
    <w:basedOn w:val="Standardskriftforavsnitt"/>
    <w:uiPriority w:val="21"/>
    <w:qFormat/>
    <w:rsid w:val="002F6379"/>
    <w:rPr>
      <w:i/>
      <w:iCs/>
      <w:color w:val="365F91" w:themeColor="accent1" w:themeShade="BF"/>
    </w:rPr>
  </w:style>
  <w:style w:type="paragraph" w:styleId="Sterktsitat">
    <w:name w:val="Intense Quote"/>
    <w:basedOn w:val="Normal"/>
    <w:next w:val="Normal"/>
    <w:link w:val="SterktsitatTegn"/>
    <w:uiPriority w:val="30"/>
    <w:qFormat/>
    <w:rsid w:val="002F63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2F6379"/>
    <w:rPr>
      <w:i/>
      <w:iCs/>
      <w:color w:val="365F91" w:themeColor="accent1" w:themeShade="BF"/>
    </w:rPr>
  </w:style>
  <w:style w:type="character" w:styleId="Sterkreferanse">
    <w:name w:val="Intense Reference"/>
    <w:basedOn w:val="Standardskriftforavsnitt"/>
    <w:uiPriority w:val="32"/>
    <w:qFormat/>
    <w:rsid w:val="002F637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05475">
      <w:bodyDiv w:val="1"/>
      <w:marLeft w:val="0"/>
      <w:marRight w:val="0"/>
      <w:marTop w:val="0"/>
      <w:marBottom w:val="0"/>
      <w:divBdr>
        <w:top w:val="none" w:sz="0" w:space="0" w:color="auto"/>
        <w:left w:val="none" w:sz="0" w:space="0" w:color="auto"/>
        <w:bottom w:val="none" w:sz="0" w:space="0" w:color="auto"/>
        <w:right w:val="none" w:sz="0" w:space="0" w:color="auto"/>
      </w:divBdr>
    </w:div>
    <w:div w:id="11691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E498BFAE2BCC43830F2C9D02C87605" ma:contentTypeVersion="18" ma:contentTypeDescription="Opprett et nytt dokument." ma:contentTypeScope="" ma:versionID="95eb9113738026a7195a9f5ac9b10aee">
  <xsd:schema xmlns:xsd="http://www.w3.org/2001/XMLSchema" xmlns:xs="http://www.w3.org/2001/XMLSchema" xmlns:p="http://schemas.microsoft.com/office/2006/metadata/properties" xmlns:ns2="f1b69034-bfd4-40c3-b7e3-10e59c67a7da" xmlns:ns3="db9e0dd9-c968-49b0-b4b7-f7dea620887f" targetNamespace="http://schemas.microsoft.com/office/2006/metadata/properties" ma:root="true" ma:fieldsID="915b9b8d58d06e438938769dae91220c" ns2:_="" ns3:_="">
    <xsd:import namespace="f1b69034-bfd4-40c3-b7e3-10e59c67a7da"/>
    <xsd:import namespace="db9e0dd9-c968-49b0-b4b7-f7dea6208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ategorie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69034-bfd4-40c3-b7e3-10e59c67a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ategorier" ma:index="12" nillable="true" ma:displayName="Kategorier" ma:format="Dropdown" ma:internalName="Kategorier">
      <xsd:simpleType>
        <xsd:restriction base="dms:Choice">
          <xsd:enumeration value="Utlysninger"/>
          <xsd:enumeration value="Rekruttering"/>
          <xsd:enumeration value="Prosjektoppfølging"/>
          <xsd:enumeration value="Politikk"/>
          <xsd:enumeration value="Stretegi"/>
          <xsd:enumeration value="Økonomi"/>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e0dd9-c968-49b0-b4b7-f7dea620887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352973a9-7bc1-42be-b2b0-5d2e617a4ad6}" ma:internalName="TaxCatchAll" ma:showField="CatchAllData" ma:web="db9e0dd9-c968-49b0-b4b7-f7dea62088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b69034-bfd4-40c3-b7e3-10e59c67a7da">
      <Terms xmlns="http://schemas.microsoft.com/office/infopath/2007/PartnerControls"/>
    </lcf76f155ced4ddcb4097134ff3c332f>
    <Kategorier xmlns="f1b69034-bfd4-40c3-b7e3-10e59c67a7da" xsi:nil="true"/>
    <TaxCatchAll xmlns="db9e0dd9-c968-49b0-b4b7-f7dea620887f" xsi:nil="true"/>
  </documentManagement>
</p:properties>
</file>

<file path=customXml/itemProps1.xml><?xml version="1.0" encoding="utf-8"?>
<ds:datastoreItem xmlns:ds="http://schemas.openxmlformats.org/officeDocument/2006/customXml" ds:itemID="{D8D42EF4-116A-4D1F-8C1E-EC470CFACCC4}"/>
</file>

<file path=customXml/itemProps2.xml><?xml version="1.0" encoding="utf-8"?>
<ds:datastoreItem xmlns:ds="http://schemas.openxmlformats.org/officeDocument/2006/customXml" ds:itemID="{C4EBB63D-6584-46B0-B712-DCF2DAB7C419}"/>
</file>

<file path=customXml/itemProps3.xml><?xml version="1.0" encoding="utf-8"?>
<ds:datastoreItem xmlns:ds="http://schemas.openxmlformats.org/officeDocument/2006/customXml" ds:itemID="{33D96F30-59C4-4136-AA86-3380D06B6243}"/>
</file>

<file path=docProps/app.xml><?xml version="1.0" encoding="utf-8"?>
<Properties xmlns="http://schemas.openxmlformats.org/officeDocument/2006/extended-properties" xmlns:vt="http://schemas.openxmlformats.org/officeDocument/2006/docPropsVTypes">
  <Template>Normal</Template>
  <TotalTime>6</TotalTime>
  <Pages>2</Pages>
  <Words>882</Words>
  <Characters>5526</Characters>
  <Application>Microsoft Office Word</Application>
  <DocSecurity>0</DocSecurity>
  <Lines>81</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Becker</dc:creator>
  <cp:keywords/>
  <dc:description/>
  <cp:lastModifiedBy>Ingunn Borlaug Lid</cp:lastModifiedBy>
  <cp:revision>9</cp:revision>
  <dcterms:created xsi:type="dcterms:W3CDTF">2026-04-08T11:34:00Z</dcterms:created>
  <dcterms:modified xsi:type="dcterms:W3CDTF">2026-04-29T22:23:00Z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2026-04-08T11:34:05Z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18185419-0688-4503-8fec-8ddd3750642f</vt:lpwstr>
  </property>
  <property fmtid="{D5CDD505-2E9C-101B-9397-08002B2CF9AE}" pid="8" name="MSIP_Label_111b3e3d-01ff-44be-8e41-bb9a1b879f55_ContentBits">
    <vt:lpwstr>0</vt:lpwstr>
  </property>
  <property fmtid="{D5CDD505-2E9C-101B-9397-08002B2CF9AE}" pid="9" name="MSIP_Label_111b3e3d-01ff-44be-8e41-bb9a1b879f55_Tag">
    <vt:lpwstr>10, 0, 1, 1</vt:lpwstr>
  </property>
  <property fmtid="{D5CDD505-2E9C-101B-9397-08002B2CF9AE}" pid="10" name="ContentTypeId">
    <vt:lpwstr>0x010100E7E498BFAE2BCC43830F2C9D02C87605</vt:lpwstr>
  </property>
</Properties>
</file>